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GUEST BORROW PROGRAM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  <w:t xml:space="preserve">Fill out each section of the template below with relevant information</w:t>
      </w:r>
      <w:r w:rsidDel="00000000" w:rsidR="00000000" w:rsidRPr="00000000">
        <w:rPr>
          <w:rtl w:val="0"/>
        </w:rPr>
        <w:t xml:space="preserve">. You will need to come back to certain sections after conducting some research (e.g. sourcing coffee cups, water bottles, and bags).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Hotel Name:</w:t>
        <w:tab/>
        <w:tab/>
        <w:tab/>
        <w:t xml:space="preserve">        Number of rooms/occupancy rates: </w:t>
        <w:tab/>
        <w:t xml:space="preserve">                        </w:t>
        <w:tab/>
        <w:t xml:space="preserve">Date: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THE ITEMS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1135.0" w:type="dxa"/>
        <w:jc w:val="left"/>
        <w:tblInd w:w="-199.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2070"/>
        <w:gridCol w:w="4095"/>
        <w:gridCol w:w="6135"/>
        <w:gridCol w:w="6975"/>
        <w:tblGridChange w:id="0">
          <w:tblGrid>
            <w:gridCol w:w="1860"/>
            <w:gridCol w:w="2070"/>
            <w:gridCol w:w="4095"/>
            <w:gridCol w:w="6135"/>
            <w:gridCol w:w="697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bottom w:color="000000" w:space="0" w:sz="8" w:val="single"/>
            </w:tcBorders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Reusable Item</w:t>
            </w:r>
          </w:p>
        </w:tc>
        <w:tc>
          <w:tcPr>
            <w:tcBorders>
              <w:bottom w:color="000000" w:space="0" w:sz="8" w:val="single"/>
            </w:tcBorders>
            <w:shd w:fill="f26a38" w:val="clea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Providing? (Y/N)</w:t>
            </w:r>
          </w:p>
        </w:tc>
        <w:tc>
          <w:tcPr>
            <w:tcBorders>
              <w:bottom w:color="000000" w:space="0" w:sz="8" w:val="single"/>
            </w:tcBorders>
            <w:shd w:fill="f26a38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Qty required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(# rooms x # items per room)</w:t>
            </w:r>
          </w:p>
        </w:tc>
        <w:tc>
          <w:tcPr>
            <w:tcBorders>
              <w:bottom w:color="000000" w:space="0" w:sz="8" w:val="single"/>
            </w:tcBorders>
            <w:shd w:fill="f26a38" w:val="clea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Preferred material</w:t>
            </w:r>
          </w:p>
        </w:tc>
        <w:tc>
          <w:tcPr>
            <w:tcBorders>
              <w:bottom w:color="000000" w:space="0" w:sz="8" w:val="single"/>
            </w:tcBorders>
            <w:shd w:fill="f26a38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Preferred supplier/brand</w:t>
            </w:r>
          </w:p>
        </w:tc>
      </w:tr>
      <w:tr>
        <w:trPr>
          <w:cantSplit w:val="0"/>
          <w:trHeight w:val="67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Coffee Cup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Aluminium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Glass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Ceramic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Reusable plastic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bottle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Aluminium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Glass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Ceramic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Reusable plastic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.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Bag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Hessian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Cotton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Hemp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Repurposed fabric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THE PARTICULARS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  <w:t xml:space="preserve">Brainstorm common issues/barriers/needs that may arise as a result of your Guest Borrow Program, ensure you include solutions to each issue.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1120.0" w:type="dxa"/>
        <w:jc w:val="left"/>
        <w:tblInd w:w="-199.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05"/>
        <w:gridCol w:w="915"/>
        <w:gridCol w:w="915"/>
        <w:gridCol w:w="915"/>
        <w:gridCol w:w="915"/>
        <w:gridCol w:w="2025"/>
        <w:gridCol w:w="13710"/>
        <w:tblGridChange w:id="0">
          <w:tblGrid>
            <w:gridCol w:w="1620"/>
            <w:gridCol w:w="105"/>
            <w:gridCol w:w="915"/>
            <w:gridCol w:w="915"/>
            <w:gridCol w:w="915"/>
            <w:gridCol w:w="915"/>
            <w:gridCol w:w="2025"/>
            <w:gridCol w:w="1371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bottom w:color="000000" w:space="0" w:sz="8" w:val="single"/>
            </w:tcBorders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Item</w:t>
            </w:r>
          </w:p>
        </w:tc>
        <w:tc>
          <w:tcPr>
            <w:gridSpan w:val="6"/>
            <w:tcBorders>
              <w:bottom w:color="000000" w:space="0" w:sz="8" w:val="single"/>
            </w:tcBorders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Policy/additional items (tick if included)</w:t>
            </w:r>
          </w:p>
        </w:tc>
        <w:tc>
          <w:tcPr>
            <w:tcBorders>
              <w:bottom w:color="000000" w:space="0" w:sz="8" w:val="single"/>
            </w:tcBorders>
            <w:shd w:fill="00a6a6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Issues/Barriers/Needs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Guest charges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Charge if items not returned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Option for guests to purchase items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Custom branding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Sponsor to cover the 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room information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☐Signage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☐Stand for items to sit on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☐Swing tags for water bottles with QR code to refill map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23811" w:orient="landscape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